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7BDD" w14:textId="77777777" w:rsidR="004E10B0" w:rsidRDefault="00253CFA" w:rsidP="004E10B0">
      <w:pPr>
        <w:pStyle w:val="BodyText3"/>
        <w:rPr>
          <w:sz w:val="20"/>
        </w:rPr>
      </w:pPr>
      <w:r>
        <w:rPr>
          <w:sz w:val="20"/>
        </w:rPr>
        <w:object w:dxaOrig="1440" w:dyaOrig="1440" w14:anchorId="0630D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44.3pt;margin-top:-34.5pt;width:237.6pt;height:57.6pt;z-index:251657728" o:allowincell="f">
            <v:imagedata r:id="rId7" o:title=""/>
            <w10:wrap type="topAndBottom"/>
          </v:shape>
          <o:OLEObject Type="Embed" ProgID="Photoshop.Image.6" ShapeID="_x0000_s1039" DrawAspect="Content" ObjectID="_1595918031" r:id="rId8">
            <o:FieldCodes>\s</o:FieldCodes>
          </o:OLEObject>
        </w:object>
      </w:r>
      <w:r w:rsidR="004E10B0">
        <w:rPr>
          <w:sz w:val="20"/>
        </w:rPr>
        <w:t>Unit S3, Kelham House</w:t>
      </w:r>
    </w:p>
    <w:p w14:paraId="4C41A7B9" w14:textId="77777777" w:rsidR="004E10B0" w:rsidRDefault="004E10B0" w:rsidP="004E10B0">
      <w:pPr>
        <w:pStyle w:val="BodyText3"/>
        <w:rPr>
          <w:sz w:val="20"/>
        </w:rPr>
      </w:pPr>
      <w:r>
        <w:rPr>
          <w:sz w:val="20"/>
        </w:rPr>
        <w:t>3 Lancaster Street</w:t>
      </w:r>
    </w:p>
    <w:p w14:paraId="0DCC4744" w14:textId="77777777" w:rsidR="004E10B0" w:rsidRDefault="004E10B0" w:rsidP="004E10B0">
      <w:pPr>
        <w:pStyle w:val="BodyText3"/>
        <w:rPr>
          <w:sz w:val="20"/>
        </w:rPr>
      </w:pPr>
      <w:r>
        <w:rPr>
          <w:sz w:val="20"/>
        </w:rPr>
        <w:t>Sheffield S3 8AF, UK</w:t>
      </w:r>
    </w:p>
    <w:p w14:paraId="70D6B41F" w14:textId="77777777"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Registered in England and Wales</w:t>
      </w:r>
    </w:p>
    <w:p w14:paraId="77C900D8" w14:textId="77777777"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No. 04721694</w:t>
      </w:r>
    </w:p>
    <w:p w14:paraId="75325AC6" w14:textId="77777777"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VAT number 820 5066 61</w:t>
      </w:r>
    </w:p>
    <w:p w14:paraId="27D144F5" w14:textId="77777777" w:rsidR="004E10B0" w:rsidRDefault="004E10B0" w:rsidP="004E10B0">
      <w:pPr>
        <w:pStyle w:val="BodyText3"/>
        <w:jc w:val="left"/>
        <w:rPr>
          <w:sz w:val="20"/>
        </w:rPr>
      </w:pPr>
    </w:p>
    <w:p w14:paraId="224F3B8E" w14:textId="77777777" w:rsidR="004E10B0" w:rsidRDefault="00253CFA" w:rsidP="004E10B0">
      <w:pPr>
        <w:pStyle w:val="BodyText3"/>
      </w:pPr>
      <w:hyperlink r:id="rId9" w:history="1">
        <w:r w:rsidR="004E10B0" w:rsidRPr="00A37869">
          <w:rPr>
            <w:rStyle w:val="Hyperlink"/>
            <w:color w:val="auto"/>
            <w:sz w:val="20"/>
          </w:rPr>
          <w:t>www.equinoxpub.com</w:t>
        </w:r>
      </w:hyperlink>
    </w:p>
    <w:p w14:paraId="54AC742D" w14:textId="77777777" w:rsidR="00A37869" w:rsidRPr="00A37869" w:rsidRDefault="00A37869" w:rsidP="004E10B0">
      <w:pPr>
        <w:pStyle w:val="BodyText3"/>
        <w:rPr>
          <w:sz w:val="20"/>
        </w:rPr>
      </w:pPr>
    </w:p>
    <w:p w14:paraId="76F1C806" w14:textId="77777777" w:rsidR="000E2830" w:rsidRDefault="000E2830" w:rsidP="00E10628">
      <w:pPr>
        <w:pStyle w:val="BodyText3"/>
        <w:rPr>
          <w:sz w:val="20"/>
        </w:rPr>
      </w:pPr>
    </w:p>
    <w:p w14:paraId="34937AAD" w14:textId="77777777" w:rsidR="004423DA" w:rsidRDefault="001D3E2B" w:rsidP="00A37869">
      <w:pPr>
        <w:jc w:val="center"/>
        <w:rPr>
          <w:rFonts w:asciiTheme="minorHAnsi" w:hAnsiTheme="minorHAnsi"/>
          <w:b/>
          <w:sz w:val="36"/>
          <w:szCs w:val="36"/>
          <w:u w:val="single"/>
          <w:lang w:eastAsia="en-GB"/>
        </w:rPr>
      </w:pPr>
      <w:r>
        <w:rPr>
          <w:rFonts w:asciiTheme="minorHAnsi" w:hAnsiTheme="minorHAnsi"/>
          <w:b/>
          <w:sz w:val="36"/>
          <w:szCs w:val="36"/>
          <w:u w:val="single"/>
          <w:lang w:eastAsia="en-GB"/>
        </w:rPr>
        <w:t xml:space="preserve">Single Institution &amp; </w:t>
      </w:r>
      <w:r w:rsidR="00A37869" w:rsidRPr="00A37869">
        <w:rPr>
          <w:rFonts w:asciiTheme="minorHAnsi" w:hAnsiTheme="minorHAnsi"/>
          <w:b/>
          <w:sz w:val="36"/>
          <w:szCs w:val="36"/>
          <w:u w:val="single"/>
          <w:lang w:eastAsia="en-GB"/>
        </w:rPr>
        <w:t>Multi Site License Agreements</w:t>
      </w:r>
    </w:p>
    <w:p w14:paraId="18D6194A" w14:textId="77777777" w:rsidR="00A37869" w:rsidRPr="00A37869" w:rsidRDefault="00A37869" w:rsidP="00A37869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eastAsia="en-GB"/>
        </w:rPr>
      </w:pPr>
      <w:r>
        <w:rPr>
          <w:rFonts w:asciiTheme="minorHAnsi" w:hAnsiTheme="minorHAnsi"/>
          <w:b/>
          <w:sz w:val="36"/>
          <w:szCs w:val="36"/>
          <w:u w:val="single"/>
          <w:lang w:eastAsia="en-GB"/>
        </w:rPr>
        <w:t>FAQs</w:t>
      </w:r>
    </w:p>
    <w:p w14:paraId="6894E893" w14:textId="77777777" w:rsidR="00A37869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14:paraId="33AB2E30" w14:textId="77777777" w:rsidR="00EE00DE" w:rsidRPr="001D3E2B" w:rsidRDefault="001D3E2B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1D3E2B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In recent years, the demand for online access to </w:t>
      </w:r>
      <w:r w:rsidR="0022076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Equinox </w:t>
      </w:r>
      <w:r w:rsidRPr="001D3E2B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journals has grown considerably. A tiered prici</w:t>
      </w:r>
      <w:r w:rsidR="007F7DB2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ng model offers institutions</w:t>
      </w:r>
      <w:r w:rsidRPr="001D3E2B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a cost-effective way of accessing the research they need without compromise.</w:t>
      </w:r>
    </w:p>
    <w:p w14:paraId="4917B8A9" w14:textId="77777777" w:rsidR="00EE00DE" w:rsidRDefault="00EE00DE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</w:p>
    <w:p w14:paraId="2E140157" w14:textId="77777777" w:rsidR="00EE00DE" w:rsidRDefault="001D3E2B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What are the benefits of having a tiered pricing system?</w:t>
      </w:r>
    </w:p>
    <w:p w14:paraId="50842731" w14:textId="77777777" w:rsidR="00EE00DE" w:rsidRDefault="00EE00DE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</w:p>
    <w:p w14:paraId="78E072AA" w14:textId="77777777" w:rsidR="001D3E2B" w:rsidRPr="001D3E2B" w:rsidRDefault="001D3E2B" w:rsidP="001D3E2B">
      <w:pPr>
        <w:shd w:val="clear" w:color="auto" w:fill="FFFFFF"/>
        <w:spacing w:after="100" w:afterAutospacing="1" w:line="270" w:lineRule="atLeast"/>
        <w:rPr>
          <w:rFonts w:asciiTheme="minorHAnsi" w:hAnsiTheme="minorHAnsi"/>
          <w:color w:val="000000"/>
          <w:sz w:val="24"/>
          <w:szCs w:val="24"/>
          <w:lang w:eastAsia="en-GB"/>
        </w:rPr>
      </w:pPr>
      <w:r w:rsidRPr="001D3E2B">
        <w:rPr>
          <w:rFonts w:asciiTheme="minorHAnsi" w:hAnsiTheme="minorHAnsi"/>
          <w:color w:val="000000"/>
          <w:sz w:val="24"/>
          <w:szCs w:val="24"/>
          <w:lang w:eastAsia="en-GB"/>
        </w:rPr>
        <w:t xml:space="preserve">The traditional approach of </w:t>
      </w:r>
      <w:r w:rsidR="0022076E">
        <w:rPr>
          <w:rFonts w:asciiTheme="minorHAnsi" w:hAnsiTheme="minorHAnsi"/>
          <w:color w:val="000000"/>
          <w:sz w:val="24"/>
          <w:szCs w:val="24"/>
          <w:lang w:eastAsia="en-GB"/>
        </w:rPr>
        <w:t xml:space="preserve">just one subscription price no longer works in our industry as there are now more options than just Print Only. The </w:t>
      </w:r>
      <w:r w:rsidRPr="001D3E2B">
        <w:rPr>
          <w:rFonts w:asciiTheme="minorHAnsi" w:hAnsiTheme="minorHAnsi"/>
          <w:color w:val="000000"/>
          <w:sz w:val="24"/>
          <w:szCs w:val="24"/>
          <w:lang w:eastAsia="en-GB"/>
        </w:rPr>
        <w:t xml:space="preserve">decision of whether to purchase or renew an institutional journal subscription is often governed by its potential or current online use. </w:t>
      </w:r>
      <w:r w:rsidR="0022076E">
        <w:rPr>
          <w:rFonts w:asciiTheme="minorHAnsi" w:hAnsiTheme="minorHAnsi"/>
          <w:color w:val="000000"/>
          <w:sz w:val="24"/>
          <w:szCs w:val="24"/>
          <w:lang w:eastAsia="en-GB"/>
        </w:rPr>
        <w:t xml:space="preserve">Equinox wants to facilitate </w:t>
      </w:r>
      <w:r w:rsidR="0022076E" w:rsidRPr="001D3E2B">
        <w:rPr>
          <w:rFonts w:asciiTheme="minorHAnsi" w:hAnsiTheme="minorHAnsi"/>
          <w:color w:val="000000"/>
          <w:sz w:val="24"/>
          <w:szCs w:val="24"/>
          <w:lang w:eastAsia="en-GB"/>
        </w:rPr>
        <w:t>institutions</w:t>
      </w:r>
      <w:r w:rsidRPr="001D3E2B">
        <w:rPr>
          <w:rFonts w:asciiTheme="minorHAnsi" w:hAnsiTheme="minorHAnsi"/>
          <w:color w:val="000000"/>
          <w:sz w:val="24"/>
          <w:szCs w:val="24"/>
          <w:lang w:eastAsia="en-GB"/>
        </w:rPr>
        <w:t xml:space="preserve"> in accessing </w:t>
      </w:r>
      <w:r>
        <w:rPr>
          <w:rFonts w:asciiTheme="minorHAnsi" w:hAnsiTheme="minorHAnsi"/>
          <w:color w:val="000000"/>
          <w:sz w:val="24"/>
          <w:szCs w:val="24"/>
          <w:lang w:eastAsia="en-GB"/>
        </w:rPr>
        <w:t>the</w:t>
      </w:r>
      <w:r w:rsidRPr="001D3E2B">
        <w:rPr>
          <w:rFonts w:asciiTheme="minorHAnsi" w:hAnsiTheme="minorHAnsi"/>
          <w:color w:val="000000"/>
          <w:sz w:val="24"/>
          <w:szCs w:val="24"/>
          <w:lang w:eastAsia="en-GB"/>
        </w:rPr>
        <w:t xml:space="preserve"> journals they require in a fairer way, without them having to compromise due to cost.</w:t>
      </w:r>
    </w:p>
    <w:p w14:paraId="559BEB3A" w14:textId="77777777" w:rsidR="00EE00DE" w:rsidRPr="001D3E2B" w:rsidRDefault="001D3E2B" w:rsidP="001D3E2B">
      <w:pPr>
        <w:shd w:val="clear" w:color="auto" w:fill="FFFFFF"/>
        <w:spacing w:before="100" w:beforeAutospacing="1" w:after="100" w:afterAutospacing="1" w:line="270" w:lineRule="atLeast"/>
        <w:rPr>
          <w:rFonts w:asciiTheme="minorHAnsi" w:hAnsiTheme="minorHAnsi"/>
          <w:color w:val="000000"/>
          <w:sz w:val="24"/>
          <w:szCs w:val="24"/>
          <w:lang w:eastAsia="en-GB"/>
        </w:rPr>
      </w:pPr>
      <w:r w:rsidRPr="001D3E2B">
        <w:rPr>
          <w:rFonts w:asciiTheme="minorHAnsi" w:hAnsiTheme="minorHAnsi"/>
          <w:color w:val="000000"/>
          <w:sz w:val="24"/>
          <w:szCs w:val="24"/>
          <w:lang w:eastAsia="en-GB"/>
        </w:rPr>
        <w:t xml:space="preserve">Tiered pricing </w:t>
      </w:r>
      <w:r w:rsidR="0022076E">
        <w:rPr>
          <w:rFonts w:asciiTheme="minorHAnsi" w:hAnsiTheme="minorHAnsi"/>
          <w:color w:val="000000"/>
          <w:sz w:val="24"/>
          <w:szCs w:val="24"/>
          <w:lang w:eastAsia="en-GB"/>
        </w:rPr>
        <w:t>is becoming</w:t>
      </w:r>
      <w:r w:rsidRPr="001D3E2B">
        <w:rPr>
          <w:rFonts w:asciiTheme="minorHAnsi" w:hAnsiTheme="minorHAnsi"/>
          <w:color w:val="000000"/>
          <w:sz w:val="24"/>
          <w:szCs w:val="24"/>
          <w:lang w:eastAsia="en-GB"/>
        </w:rPr>
        <w:t xml:space="preserve"> an industry norm and reflects how much more an online edition of a journal offers institutions including extensive and fully searchable back archives, with single institution and multi-site licenses meaning extended access for larger institutions with multiple campuses and a lower price for smaller institutions tha</w:t>
      </w:r>
      <w:r>
        <w:rPr>
          <w:rFonts w:asciiTheme="minorHAnsi" w:hAnsiTheme="minorHAnsi"/>
          <w:color w:val="000000"/>
          <w:sz w:val="24"/>
          <w:szCs w:val="24"/>
          <w:lang w:eastAsia="en-GB"/>
        </w:rPr>
        <w:t>t anticipate less online usage.</w:t>
      </w:r>
    </w:p>
    <w:p w14:paraId="599BF97E" w14:textId="77777777" w:rsidR="00EE00DE" w:rsidRDefault="00EE00DE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</w:p>
    <w:p w14:paraId="4FBF466A" w14:textId="77777777" w:rsidR="00A37869" w:rsidRPr="00A37869" w:rsidRDefault="00A37869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A37869">
        <w:rPr>
          <w:rFonts w:asciiTheme="minorHAnsi" w:hAnsiTheme="minorHAnsi"/>
          <w:i/>
          <w:sz w:val="24"/>
          <w:szCs w:val="24"/>
          <w:u w:val="single"/>
        </w:rPr>
        <w:t xml:space="preserve">What is a </w:t>
      </w:r>
      <w:r w:rsidRPr="00A37869">
        <w:rPr>
          <w:rFonts w:asciiTheme="minorHAnsi" w:hAnsiTheme="minorHAnsi"/>
          <w:i/>
          <w:color w:val="333333"/>
          <w:sz w:val="24"/>
          <w:szCs w:val="24"/>
          <w:u w:val="single"/>
          <w:bdr w:val="none" w:sz="0" w:space="0" w:color="auto" w:frame="1"/>
          <w:lang w:eastAsia="en-GB"/>
        </w:rPr>
        <w:t>Single Site/Standard License Agreement</w:t>
      </w:r>
    </w:p>
    <w:p w14:paraId="77FD4312" w14:textId="77777777" w:rsidR="00A37869" w:rsidRPr="00EE00DE" w:rsidRDefault="00A37869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color w:val="333333"/>
          <w:sz w:val="24"/>
          <w:szCs w:val="24"/>
          <w:lang w:eastAsia="en-GB"/>
        </w:rPr>
      </w:pP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A single site is a single contiguous geographic region from within which the </w:t>
      </w:r>
      <w:r w:rsidR="000C64C3" w:rsidRPr="00A37869">
        <w:rPr>
          <w:rFonts w:asciiTheme="minorHAnsi" w:hAnsiTheme="minorHAnsi"/>
          <w:color w:val="333333"/>
          <w:sz w:val="24"/>
          <w:szCs w:val="24"/>
          <w:lang w:eastAsia="en-GB"/>
        </w:rPr>
        <w:t>libraries/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Licensee’s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“Authorized Users” and public visitors can access the Licensed Mate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rials over a secure network. T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>ypical single site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s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are those </w:t>
      </w:r>
      <w:r w:rsidR="00473442" w:rsidRPr="00473442">
        <w:rPr>
          <w:rFonts w:asciiTheme="minorHAnsi" w:hAnsiTheme="minorHAnsi"/>
          <w:color w:val="333333"/>
          <w:sz w:val="24"/>
          <w:szCs w:val="24"/>
          <w:lang w:eastAsia="en-GB"/>
        </w:rPr>
        <w:t>with a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single billing address for all subscription purchases and all physical locations accessing the licensed materials are located on the same physical campus.</w:t>
      </w:r>
      <w:r w:rsidR="00EE00DE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</w:t>
      </w:r>
      <w:r w:rsidR="00EE00DE" w:rsidRPr="00EE00D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Single institutions are classed as being located within one metropolitan boundary</w:t>
      </w:r>
    </w:p>
    <w:p w14:paraId="4A02FF53" w14:textId="77777777" w:rsidR="00473442" w:rsidRPr="00473442" w:rsidRDefault="00473442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</w:pPr>
      <w:r w:rsidRPr="00473442"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  <w:t>Do we need a Multi-Site License Agreement from Equinox Publishing?</w:t>
      </w:r>
    </w:p>
    <w:p w14:paraId="700A01AB" w14:textId="77777777" w:rsidR="007A1F93" w:rsidRPr="00EE00DE" w:rsidRDefault="00473442" w:rsidP="007A1F93">
      <w:pPr>
        <w:shd w:val="clear" w:color="auto" w:fill="FFFFFF"/>
        <w:spacing w:before="384" w:after="384" w:line="315" w:lineRule="atLeast"/>
        <w:textAlignment w:val="baseline"/>
        <w:rPr>
          <w:rFonts w:ascii="Calibri" w:hAnsi="Calibri"/>
          <w:color w:val="333333"/>
          <w:sz w:val="24"/>
          <w:szCs w:val="24"/>
          <w:lang w:eastAsia="en-GB"/>
        </w:rPr>
      </w:pPr>
      <w:r>
        <w:rPr>
          <w:rFonts w:asciiTheme="minorHAnsi" w:hAnsiTheme="minorHAnsi"/>
          <w:color w:val="333333"/>
          <w:sz w:val="24"/>
          <w:szCs w:val="24"/>
          <w:lang w:eastAsia="en-GB"/>
        </w:rPr>
        <w:t>If a L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ibrary/Licensee maintains or provides service to users that are outside of one single geographical contiguous location, or multiple departments that operate independently of the parent institution, then the library/Licensee may need to obtain a multi-site or consortium license</w:t>
      </w:r>
      <w:r w:rsidRPr="00EE00DE">
        <w:rPr>
          <w:rFonts w:asciiTheme="minorHAnsi" w:hAnsiTheme="minorHAnsi"/>
          <w:color w:val="333333"/>
          <w:sz w:val="24"/>
          <w:szCs w:val="24"/>
          <w:lang w:eastAsia="en-GB"/>
        </w:rPr>
        <w:t>.</w:t>
      </w:r>
      <w:r w:rsidR="00EE00DE" w:rsidRPr="00EE00DE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</w:t>
      </w:r>
      <w:r w:rsidR="00EE00DE" w:rsidRPr="00EE00DE">
        <w:rPr>
          <w:rFonts w:ascii="Calibri" w:hAnsi="Calibri"/>
          <w:color w:val="000000"/>
          <w:sz w:val="24"/>
          <w:szCs w:val="24"/>
          <w:shd w:val="clear" w:color="auto" w:fill="FFFFFF"/>
        </w:rPr>
        <w:t>A multi-site license applies when a single institution wants to offer online access to its subscribed journals at more than one campus outside of the purchasing institution’s metropolitan boundary. </w:t>
      </w:r>
    </w:p>
    <w:p w14:paraId="4AEEFA40" w14:textId="77777777" w:rsidR="003C063F" w:rsidRDefault="003C063F" w:rsidP="007A1F93">
      <w:pPr>
        <w:pStyle w:val="NoSpacing"/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</w:pPr>
    </w:p>
    <w:p w14:paraId="4D035047" w14:textId="77777777" w:rsidR="003C063F" w:rsidRDefault="003C063F" w:rsidP="007A1F93">
      <w:pPr>
        <w:pStyle w:val="NoSpacing"/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</w:pPr>
    </w:p>
    <w:p w14:paraId="132B8445" w14:textId="77777777" w:rsidR="00BA648C" w:rsidRDefault="00BA648C" w:rsidP="007A1F93">
      <w:pPr>
        <w:pStyle w:val="NoSpacing"/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</w:pPr>
    </w:p>
    <w:p w14:paraId="077E01B1" w14:textId="77777777" w:rsidR="007A1F93" w:rsidRPr="007A1F93" w:rsidRDefault="00473442" w:rsidP="007A1F93">
      <w:pPr>
        <w:pStyle w:val="NoSpacing"/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</w:pPr>
      <w:r w:rsidRPr="007A1F93"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  <w:t>Multi-Site License</w:t>
      </w:r>
    </w:p>
    <w:p w14:paraId="0813A6BD" w14:textId="77777777" w:rsidR="00473442" w:rsidRPr="007A1F93" w:rsidRDefault="00473442" w:rsidP="007A1F93">
      <w:pPr>
        <w:pStyle w:val="NoSpacing"/>
        <w:rPr>
          <w:rFonts w:asciiTheme="minorHAnsi" w:hAnsiTheme="minorHAnsi"/>
          <w:color w:val="333333"/>
          <w:sz w:val="24"/>
          <w:szCs w:val="24"/>
          <w:lang w:eastAsia="en-GB"/>
        </w:rPr>
      </w:pPr>
      <w:r w:rsidRPr="007A1F93">
        <w:rPr>
          <w:rFonts w:asciiTheme="minorHAnsi" w:hAnsiTheme="minorHAnsi"/>
          <w:sz w:val="24"/>
          <w:szCs w:val="24"/>
          <w:lang w:eastAsia="en-GB"/>
        </w:rPr>
        <w:t>Sites under multi-site license agreement can be either:</w:t>
      </w:r>
    </w:p>
    <w:p w14:paraId="74F0666A" w14:textId="77777777"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sz w:val="24"/>
          <w:szCs w:val="24"/>
          <w:lang w:eastAsia="en-GB"/>
        </w:rPr>
        <w:t>1. Multi-Site Institution</w:t>
      </w:r>
    </w:p>
    <w:p w14:paraId="4595F4D5" w14:textId="77777777"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2</w:t>
      </w:r>
      <w:r w:rsidRPr="00473442">
        <w:rPr>
          <w:rFonts w:asciiTheme="minorHAnsi" w:hAnsiTheme="minorHAnsi"/>
          <w:sz w:val="24"/>
          <w:szCs w:val="24"/>
          <w:lang w:eastAsia="en-GB"/>
        </w:rPr>
        <w:t>.</w:t>
      </w:r>
      <w:r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774C00">
        <w:rPr>
          <w:rFonts w:asciiTheme="minorHAnsi" w:hAnsiTheme="minorHAnsi"/>
          <w:sz w:val="24"/>
          <w:szCs w:val="24"/>
          <w:lang w:eastAsia="en-GB"/>
        </w:rPr>
        <w:t xml:space="preserve">A </w:t>
      </w:r>
      <w:r w:rsidR="00774C00" w:rsidRPr="00473442">
        <w:rPr>
          <w:rFonts w:asciiTheme="minorHAnsi" w:hAnsiTheme="minorHAnsi"/>
          <w:sz w:val="24"/>
          <w:szCs w:val="24"/>
          <w:lang w:eastAsia="en-GB"/>
        </w:rPr>
        <w:t>single</w:t>
      </w:r>
      <w:r w:rsidRPr="00473442">
        <w:rPr>
          <w:rFonts w:asciiTheme="minorHAnsi" w:hAnsiTheme="minorHAnsi"/>
          <w:sz w:val="24"/>
          <w:szCs w:val="24"/>
          <w:lang w:eastAsia="en-GB"/>
        </w:rPr>
        <w:t xml:space="preserve"> institution with separate branches (in more than one location) or departments that operate independently and share IP addresses and/or network services with a parent site</w:t>
      </w:r>
      <w:r>
        <w:rPr>
          <w:rFonts w:asciiTheme="minorHAnsi" w:hAnsiTheme="minorHAnsi"/>
          <w:sz w:val="24"/>
          <w:szCs w:val="24"/>
          <w:lang w:eastAsia="en-GB"/>
        </w:rPr>
        <w:t>.</w:t>
      </w:r>
    </w:p>
    <w:p w14:paraId="24DE60D4" w14:textId="77777777" w:rsid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3</w:t>
      </w:r>
      <w:r w:rsidRPr="00473442">
        <w:rPr>
          <w:rFonts w:asciiTheme="minorHAnsi" w:hAnsiTheme="minorHAnsi"/>
          <w:sz w:val="24"/>
          <w:szCs w:val="24"/>
          <w:lang w:eastAsia="en-GB"/>
        </w:rPr>
        <w:t>. Multiple departments that operate independently of the parent institution, but may be located in the same building or on the same campus, and share IP addresses and/or network services with a parent site</w:t>
      </w:r>
      <w:r>
        <w:rPr>
          <w:rFonts w:asciiTheme="minorHAnsi" w:hAnsiTheme="minorHAnsi"/>
          <w:sz w:val="24"/>
          <w:szCs w:val="24"/>
          <w:lang w:eastAsia="en-GB"/>
        </w:rPr>
        <w:t>.</w:t>
      </w:r>
    </w:p>
    <w:p w14:paraId="02356981" w14:textId="77777777"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</w:p>
    <w:p w14:paraId="561D2E16" w14:textId="77777777"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b/>
          <w:i/>
          <w:sz w:val="24"/>
          <w:szCs w:val="24"/>
          <w:lang w:eastAsia="en-GB"/>
        </w:rPr>
        <w:t>Consortia</w:t>
      </w:r>
      <w:r w:rsidRPr="00473442">
        <w:rPr>
          <w:rFonts w:asciiTheme="minorHAnsi" w:hAnsiTheme="minorHAnsi"/>
          <w:sz w:val="24"/>
          <w:szCs w:val="24"/>
          <w:lang w:eastAsia="en-GB"/>
        </w:rPr>
        <w:t xml:space="preserve"> (“1” or “2” as defined below)</w:t>
      </w:r>
    </w:p>
    <w:p w14:paraId="387DF2FD" w14:textId="77777777"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sz w:val="24"/>
          <w:szCs w:val="24"/>
          <w:lang w:eastAsia="en-GB"/>
        </w:rPr>
        <w:t>1. Any group of related or unrelated institutions/agencies/libraries who do not share administrative structure, networks or IP address ranges, but would like communal access to online subscriptions</w:t>
      </w:r>
    </w:p>
    <w:p w14:paraId="52DF9B17" w14:textId="77777777" w:rsidR="00EE00DE" w:rsidRPr="001D3E2B" w:rsidRDefault="00473442" w:rsidP="001D3E2B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sz w:val="24"/>
          <w:szCs w:val="24"/>
          <w:lang w:eastAsia="en-GB"/>
        </w:rPr>
        <w:t>2. Any group of related or unrelated institutions/agencies/libraries who do not share administrative structure, networks or IP address ranges, but would like to negotiate a group price on individual subscriptions</w:t>
      </w:r>
    </w:p>
    <w:p w14:paraId="674DB09F" w14:textId="77777777" w:rsidR="007A1F93" w:rsidRPr="007A1F93" w:rsidRDefault="007A1F93" w:rsidP="007A1F93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b/>
          <w:i/>
          <w:sz w:val="24"/>
          <w:szCs w:val="24"/>
          <w:lang w:eastAsia="en-GB"/>
        </w:rPr>
      </w:pPr>
      <w:r w:rsidRPr="007A1F93">
        <w:rPr>
          <w:rFonts w:asciiTheme="minorHAnsi" w:hAnsiTheme="minorHAnsi"/>
          <w:b/>
          <w:i/>
          <w:color w:val="333333"/>
          <w:sz w:val="24"/>
          <w:szCs w:val="24"/>
          <w:u w:val="single"/>
          <w:bdr w:val="none" w:sz="0" w:space="0" w:color="auto" w:frame="1"/>
          <w:lang w:eastAsia="en-GB"/>
        </w:rPr>
        <w:t>What About ‘Remote’ Users?</w:t>
      </w:r>
    </w:p>
    <w:p w14:paraId="2A7DB9DA" w14:textId="77777777" w:rsidR="00473442" w:rsidRPr="00473442" w:rsidRDefault="007A1F93" w:rsidP="001D3E2B">
      <w:pPr>
        <w:shd w:val="clear" w:color="auto" w:fill="FFFFFF"/>
        <w:spacing w:before="384" w:after="384" w:line="315" w:lineRule="atLeast"/>
        <w:textAlignment w:val="baseline"/>
        <w:rPr>
          <w:rFonts w:asciiTheme="minorHAnsi" w:hAnsiTheme="minorHAnsi"/>
          <w:sz w:val="24"/>
          <w:szCs w:val="24"/>
          <w:lang w:eastAsia="en-GB"/>
        </w:rPr>
      </w:pPr>
      <w:r w:rsidRPr="007A1F93">
        <w:rPr>
          <w:rFonts w:asciiTheme="minorHAnsi" w:hAnsiTheme="minorHAnsi"/>
          <w:color w:val="333333"/>
          <w:sz w:val="24"/>
          <w:szCs w:val="24"/>
          <w:lang w:eastAsia="en-GB"/>
        </w:rPr>
        <w:t>Remote access to licensed materials is restricted to official distance education/learning programs administrated only by the library’s/Licensee’s own host institution. Distance learning programs administrated by other institutions may not be considered “Authorized Users.”</w:t>
      </w:r>
    </w:p>
    <w:p w14:paraId="344F9DDD" w14:textId="77777777" w:rsidR="00473442" w:rsidRPr="007A1F93" w:rsidRDefault="007A1F93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</w:pPr>
      <w:r w:rsidRPr="007A1F93"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  <w:t>What are the multi-site subscription rates?</w:t>
      </w:r>
    </w:p>
    <w:p w14:paraId="6D67ED91" w14:textId="77777777" w:rsidR="00473442" w:rsidRPr="00140EE1" w:rsidRDefault="00140EE1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sz w:val="24"/>
          <w:szCs w:val="24"/>
          <w:lang w:eastAsia="en-GB"/>
        </w:rPr>
      </w:pPr>
      <w:r w:rsidRPr="00140EE1">
        <w:rPr>
          <w:rFonts w:asciiTheme="minorHAnsi" w:hAnsiTheme="minorHAnsi"/>
          <w:sz w:val="24"/>
          <w:szCs w:val="24"/>
          <w:lang w:eastAsia="en-GB"/>
        </w:rPr>
        <w:t>Each additional site is discounted according to the number of sites.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40EE1" w:rsidRPr="00140EE1" w14:paraId="4AAB5C2C" w14:textId="77777777" w:rsidTr="00140EE1">
        <w:tc>
          <w:tcPr>
            <w:tcW w:w="5341" w:type="dxa"/>
          </w:tcPr>
          <w:p w14:paraId="4711BC0D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en-GB"/>
              </w:rPr>
            </w:pPr>
            <w:r w:rsidRPr="00140EE1">
              <w:rPr>
                <w:rFonts w:asciiTheme="minorHAnsi" w:hAnsiTheme="minorHAnsi"/>
                <w:b/>
                <w:sz w:val="24"/>
                <w:szCs w:val="24"/>
                <w:lang w:eastAsia="en-GB"/>
              </w:rPr>
              <w:t>Number of Sites</w:t>
            </w:r>
          </w:p>
        </w:tc>
        <w:tc>
          <w:tcPr>
            <w:tcW w:w="5341" w:type="dxa"/>
          </w:tcPr>
          <w:p w14:paraId="0E68199D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GB"/>
              </w:rPr>
              <w:t>Discount R</w:t>
            </w:r>
            <w:r w:rsidRPr="00140EE1">
              <w:rPr>
                <w:rFonts w:asciiTheme="minorHAnsi" w:hAnsiTheme="minorHAnsi"/>
                <w:b/>
                <w:sz w:val="24"/>
                <w:szCs w:val="24"/>
                <w:lang w:eastAsia="en-GB"/>
              </w:rPr>
              <w:t>ate on Published Price</w:t>
            </w:r>
          </w:p>
        </w:tc>
      </w:tr>
      <w:tr w:rsidR="00140EE1" w:rsidRPr="00140EE1" w14:paraId="7BFE136C" w14:textId="77777777" w:rsidTr="00140EE1">
        <w:tc>
          <w:tcPr>
            <w:tcW w:w="5341" w:type="dxa"/>
          </w:tcPr>
          <w:p w14:paraId="2AFBF068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341" w:type="dxa"/>
          </w:tcPr>
          <w:p w14:paraId="1E429941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None</w:t>
            </w:r>
          </w:p>
        </w:tc>
      </w:tr>
      <w:tr w:rsidR="00140EE1" w:rsidRPr="00140EE1" w14:paraId="1AEA1625" w14:textId="77777777" w:rsidTr="00140EE1">
        <w:tc>
          <w:tcPr>
            <w:tcW w:w="5341" w:type="dxa"/>
          </w:tcPr>
          <w:p w14:paraId="5D3C1B01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341" w:type="dxa"/>
          </w:tcPr>
          <w:p w14:paraId="65E4F078" w14:textId="541ED857" w:rsidR="00140EE1" w:rsidRPr="00140EE1" w:rsidRDefault="004A7376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4</w:t>
            </w:r>
            <w:r w:rsidR="00FD0FE8">
              <w:rPr>
                <w:rFonts w:asciiTheme="minorHAnsi" w:hAnsiTheme="minorHAnsi"/>
                <w:sz w:val="24"/>
                <w:szCs w:val="24"/>
                <w:lang w:eastAsia="en-GB"/>
              </w:rPr>
              <w:t>5</w:t>
            </w:r>
            <w:r w:rsidR="00140EE1">
              <w:rPr>
                <w:rFonts w:asciiTheme="minorHAnsi" w:hAnsiTheme="minorHAnsi"/>
                <w:sz w:val="24"/>
                <w:szCs w:val="24"/>
                <w:lang w:eastAsia="en-GB"/>
              </w:rPr>
              <w:t>%</w:t>
            </w:r>
          </w:p>
        </w:tc>
      </w:tr>
      <w:tr w:rsidR="00140EE1" w:rsidRPr="00140EE1" w14:paraId="3EF4EBFC" w14:textId="77777777" w:rsidTr="00140EE1">
        <w:tc>
          <w:tcPr>
            <w:tcW w:w="5341" w:type="dxa"/>
          </w:tcPr>
          <w:p w14:paraId="21604829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341" w:type="dxa"/>
          </w:tcPr>
          <w:p w14:paraId="05BD01A6" w14:textId="5CA3DBC2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5</w:t>
            </w:r>
            <w:r w:rsidR="004A7376">
              <w:rPr>
                <w:rFonts w:asciiTheme="minorHAnsi" w:hAnsiTheme="minorHAnsi"/>
                <w:sz w:val="24"/>
                <w:szCs w:val="24"/>
                <w:lang w:eastAsia="en-GB"/>
              </w:rPr>
              <w:t>5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%</w:t>
            </w:r>
          </w:p>
        </w:tc>
      </w:tr>
      <w:tr w:rsidR="00140EE1" w:rsidRPr="00140EE1" w14:paraId="6ED62287" w14:textId="77777777" w:rsidTr="00140EE1">
        <w:tc>
          <w:tcPr>
            <w:tcW w:w="5341" w:type="dxa"/>
          </w:tcPr>
          <w:p w14:paraId="550E029B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341" w:type="dxa"/>
          </w:tcPr>
          <w:p w14:paraId="1586C8E8" w14:textId="4F2727C6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6</w:t>
            </w:r>
            <w:r w:rsidR="004A7376">
              <w:rPr>
                <w:rFonts w:asciiTheme="minorHAnsi" w:hAnsiTheme="minorHAnsi"/>
                <w:sz w:val="24"/>
                <w:szCs w:val="24"/>
                <w:lang w:eastAsia="en-GB"/>
              </w:rPr>
              <w:t>5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%</w:t>
            </w:r>
          </w:p>
        </w:tc>
        <w:bookmarkStart w:id="0" w:name="_GoBack"/>
        <w:bookmarkEnd w:id="0"/>
      </w:tr>
      <w:tr w:rsidR="00140EE1" w:rsidRPr="00140EE1" w14:paraId="081BE1C4" w14:textId="77777777" w:rsidTr="00140EE1">
        <w:tc>
          <w:tcPr>
            <w:tcW w:w="5341" w:type="dxa"/>
          </w:tcPr>
          <w:p w14:paraId="27F7825D" w14:textId="77777777"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Additional Sites</w:t>
            </w:r>
          </w:p>
        </w:tc>
        <w:tc>
          <w:tcPr>
            <w:tcW w:w="5341" w:type="dxa"/>
          </w:tcPr>
          <w:p w14:paraId="5D510439" w14:textId="728C8896" w:rsidR="00140EE1" w:rsidRPr="00140EE1" w:rsidRDefault="004A7376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7</w:t>
            </w:r>
            <w:r w:rsidR="00140EE1">
              <w:rPr>
                <w:rFonts w:asciiTheme="minorHAnsi" w:hAnsiTheme="minorHAnsi"/>
                <w:sz w:val="24"/>
                <w:szCs w:val="24"/>
                <w:lang w:eastAsia="en-GB"/>
              </w:rPr>
              <w:t>0%</w:t>
            </w:r>
          </w:p>
        </w:tc>
      </w:tr>
    </w:tbl>
    <w:p w14:paraId="30B0D4A0" w14:textId="77777777" w:rsidR="00B72ED2" w:rsidRDefault="00B72ED2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0AD9CF5A" w14:textId="77777777" w:rsidR="00140EE1" w:rsidRPr="00B72ED2" w:rsidRDefault="00140EE1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 w:rsidRPr="00B72ED2">
        <w:rPr>
          <w:rFonts w:asciiTheme="minorHAnsi" w:hAnsiTheme="minorHAnsi"/>
          <w:sz w:val="24"/>
          <w:szCs w:val="24"/>
          <w:lang w:eastAsia="en-GB"/>
        </w:rPr>
        <w:t>Please see attached Multiple Site Rate Calculator (Excel Spreadsheet)</w:t>
      </w:r>
    </w:p>
    <w:p w14:paraId="60F45F46" w14:textId="77777777" w:rsidR="00140EE1" w:rsidRPr="00B72ED2" w:rsidRDefault="00140EE1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 w:rsidRPr="00B72ED2">
        <w:rPr>
          <w:rFonts w:asciiTheme="minorHAnsi" w:hAnsiTheme="minorHAnsi"/>
          <w:sz w:val="24"/>
          <w:szCs w:val="24"/>
          <w:lang w:eastAsia="en-GB"/>
        </w:rPr>
        <w:t xml:space="preserve">Enter the current single site subscription price as instructed and </w:t>
      </w:r>
      <w:r w:rsidR="00B72ED2" w:rsidRPr="00B72ED2">
        <w:rPr>
          <w:rFonts w:asciiTheme="minorHAnsi" w:hAnsiTheme="minorHAnsi"/>
          <w:sz w:val="24"/>
          <w:szCs w:val="24"/>
          <w:lang w:eastAsia="en-GB"/>
        </w:rPr>
        <w:t>click &lt;Enter&gt;</w:t>
      </w:r>
    </w:p>
    <w:p w14:paraId="19F7E762" w14:textId="77777777" w:rsidR="00B72ED2" w:rsidRDefault="00B72ED2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 w:rsidRPr="00B72ED2">
        <w:rPr>
          <w:rFonts w:asciiTheme="minorHAnsi" w:hAnsiTheme="minorHAnsi"/>
          <w:sz w:val="24"/>
          <w:szCs w:val="24"/>
          <w:lang w:eastAsia="en-GB"/>
        </w:rPr>
        <w:t>This will then</w:t>
      </w:r>
      <w:r>
        <w:rPr>
          <w:rFonts w:asciiTheme="minorHAnsi" w:hAnsiTheme="minorHAnsi"/>
          <w:sz w:val="24"/>
          <w:szCs w:val="24"/>
          <w:lang w:eastAsia="en-GB"/>
        </w:rPr>
        <w:t xml:space="preserve"> show</w:t>
      </w:r>
      <w:r w:rsidRPr="00B72ED2">
        <w:rPr>
          <w:rFonts w:asciiTheme="minorHAnsi" w:hAnsiTheme="minorHAnsi"/>
          <w:sz w:val="24"/>
          <w:szCs w:val="24"/>
          <w:lang w:eastAsia="en-GB"/>
        </w:rPr>
        <w:t xml:space="preserve"> the cost breakdown for multiple sites</w:t>
      </w:r>
    </w:p>
    <w:p w14:paraId="5674641B" w14:textId="77777777" w:rsidR="00AB5C1A" w:rsidRDefault="00AB5C1A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4A3140EA" w14:textId="77777777" w:rsidR="00AB5C1A" w:rsidRPr="00AB5C1A" w:rsidRDefault="00AB5C1A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 xml:space="preserve">If you think you should be paying for less sites, please contact us </w:t>
      </w:r>
      <w:r w:rsidRPr="00AB5C1A">
        <w:rPr>
          <w:rFonts w:asciiTheme="minorHAnsi" w:hAnsiTheme="minorHAnsi"/>
          <w:sz w:val="24"/>
          <w:szCs w:val="24"/>
          <w:lang w:eastAsia="en-GB"/>
        </w:rPr>
        <w:t xml:space="preserve">with </w:t>
      </w:r>
      <w:r w:rsidRPr="00AB5C1A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further site and FTE information. Once we </w:t>
      </w:r>
      <w:r w:rsidRPr="00AB5C1A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know</w:t>
      </w:r>
      <w:r w:rsidRPr="00AB5C1A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where the main FTE load is being centralised and if other campuses are much smaller operations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Pr="00AB5C1A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we can give a more accurate quote as to how many campuses have to be paid for.</w:t>
      </w:r>
    </w:p>
    <w:p w14:paraId="5E943A6E" w14:textId="77777777" w:rsidR="00A37869" w:rsidRPr="00140EE1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14:paraId="77927D9A" w14:textId="77777777" w:rsidR="00A37869" w:rsidRPr="00140EE1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14:paraId="49E96F83" w14:textId="77777777" w:rsidR="007B799C" w:rsidRDefault="00A50572" w:rsidP="00A50572">
      <w:pPr>
        <w:pStyle w:val="BodyText3"/>
        <w:jc w:val="left"/>
      </w:pPr>
      <w:r w:rsidRPr="00A50572">
        <w:rPr>
          <w:rFonts w:asciiTheme="minorHAnsi" w:hAnsiTheme="minorHAnsi"/>
          <w:b w:val="0"/>
          <w:sz w:val="24"/>
          <w:szCs w:val="24"/>
        </w:rPr>
        <w:t>For further information please look at</w:t>
      </w:r>
    </w:p>
    <w:p w14:paraId="1B67C417" w14:textId="77777777" w:rsidR="00A8425E" w:rsidRDefault="00253CFA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hyperlink r:id="rId10" w:history="1">
        <w:r w:rsidR="007B799C" w:rsidRPr="009A4184">
          <w:rPr>
            <w:rStyle w:val="Hyperlink"/>
            <w:rFonts w:asciiTheme="minorHAnsi" w:hAnsiTheme="minorHAnsi"/>
            <w:b w:val="0"/>
            <w:sz w:val="24"/>
            <w:szCs w:val="24"/>
          </w:rPr>
          <w:t>https://www.equinoxpub.com/home/information-for-librarians-and-subscription-agents/</w:t>
        </w:r>
      </w:hyperlink>
      <w:r w:rsidR="007B799C">
        <w:rPr>
          <w:rFonts w:asciiTheme="minorHAnsi" w:hAnsiTheme="minorHAnsi"/>
          <w:b w:val="0"/>
          <w:sz w:val="24"/>
          <w:szCs w:val="24"/>
        </w:rPr>
        <w:t xml:space="preserve">  </w:t>
      </w:r>
    </w:p>
    <w:p w14:paraId="76DA757A" w14:textId="77777777" w:rsid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Or contact us at </w:t>
      </w:r>
      <w:hyperlink r:id="rId11" w:history="1">
        <w:r w:rsidRPr="004666CC">
          <w:rPr>
            <w:rStyle w:val="Hyperlink"/>
            <w:rFonts w:asciiTheme="minorHAnsi" w:hAnsiTheme="minorHAnsi"/>
            <w:b w:val="0"/>
            <w:sz w:val="24"/>
            <w:szCs w:val="24"/>
          </w:rPr>
          <w:t>journals@equinoxpub.com</w:t>
        </w:r>
      </w:hyperlink>
    </w:p>
    <w:p w14:paraId="35D9C255" w14:textId="77777777" w:rsid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14:paraId="7E00F7D7" w14:textId="77777777" w:rsidR="000E2830" w:rsidRPr="00987FD4" w:rsidRDefault="00A50572" w:rsidP="000E2830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Yvonne Nazareth</w:t>
      </w:r>
    </w:p>
    <w:sectPr w:rsidR="000E2830" w:rsidRPr="00987FD4" w:rsidSect="004423DA">
      <w:headerReference w:type="even" r:id="rId12"/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3AD4" w14:textId="77777777" w:rsidR="00253CFA" w:rsidRDefault="00253CFA">
      <w:r>
        <w:separator/>
      </w:r>
    </w:p>
  </w:endnote>
  <w:endnote w:type="continuationSeparator" w:id="0">
    <w:p w14:paraId="425E5527" w14:textId="77777777" w:rsidR="00253CFA" w:rsidRDefault="002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49516"/>
      <w:docPartObj>
        <w:docPartGallery w:val="Page Numbers (Bottom of Page)"/>
        <w:docPartUnique/>
      </w:docPartObj>
    </w:sdtPr>
    <w:sdtEndPr/>
    <w:sdtContent>
      <w:p w14:paraId="26301640" w14:textId="77777777" w:rsidR="00BA648C" w:rsidRDefault="00100D81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7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258D6" w14:textId="77777777" w:rsidR="002174E0" w:rsidRDefault="00217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E4CF" w14:textId="77777777" w:rsidR="00253CFA" w:rsidRDefault="00253CFA">
      <w:r>
        <w:separator/>
      </w:r>
    </w:p>
  </w:footnote>
  <w:footnote w:type="continuationSeparator" w:id="0">
    <w:p w14:paraId="059E0C9D" w14:textId="77777777" w:rsidR="00253CFA" w:rsidRDefault="0025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2BDC" w14:textId="77777777" w:rsidR="002174E0" w:rsidRDefault="005D1A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74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4E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1238991" w14:textId="77777777" w:rsidR="002174E0" w:rsidRDefault="002174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F6CA" w14:textId="77777777" w:rsidR="002174E0" w:rsidRDefault="002174E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B25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E2F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C4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2CE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A76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1"/>
    <w:multiLevelType w:val="singleLevel"/>
    <w:tmpl w:val="00000000"/>
    <w:lvl w:ilvl="0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0A9E0599"/>
    <w:multiLevelType w:val="multilevel"/>
    <w:tmpl w:val="CB5630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3A42A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634564"/>
    <w:multiLevelType w:val="singleLevel"/>
    <w:tmpl w:val="A168B5B4"/>
    <w:lvl w:ilvl="0">
      <w:start w:val="2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94F1F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30F3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0F294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973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FF6D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1E33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3E38FA"/>
    <w:multiLevelType w:val="singleLevel"/>
    <w:tmpl w:val="259E91A0"/>
    <w:lvl w:ilvl="0">
      <w:start w:val="2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D0A062B"/>
    <w:multiLevelType w:val="hybridMultilevel"/>
    <w:tmpl w:val="858A8A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22D44"/>
    <w:multiLevelType w:val="singleLevel"/>
    <w:tmpl w:val="7BDC1D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7DE75F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9"/>
  </w:num>
  <w:num w:numId="8">
    <w:abstractNumId w:val="18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A05"/>
    <w:rsid w:val="00000FE2"/>
    <w:rsid w:val="0001055D"/>
    <w:rsid w:val="000122AE"/>
    <w:rsid w:val="000204B8"/>
    <w:rsid w:val="00032B03"/>
    <w:rsid w:val="000472AD"/>
    <w:rsid w:val="000530EE"/>
    <w:rsid w:val="00063877"/>
    <w:rsid w:val="000707D9"/>
    <w:rsid w:val="00070D34"/>
    <w:rsid w:val="00084DCC"/>
    <w:rsid w:val="00087EC9"/>
    <w:rsid w:val="00094362"/>
    <w:rsid w:val="000A65F2"/>
    <w:rsid w:val="000C64C3"/>
    <w:rsid w:val="000C7D7A"/>
    <w:rsid w:val="000D7F6C"/>
    <w:rsid w:val="000E2830"/>
    <w:rsid w:val="00100D81"/>
    <w:rsid w:val="001223A2"/>
    <w:rsid w:val="001244EE"/>
    <w:rsid w:val="00125A78"/>
    <w:rsid w:val="00140B8D"/>
    <w:rsid w:val="00140EE1"/>
    <w:rsid w:val="00150B43"/>
    <w:rsid w:val="0017661F"/>
    <w:rsid w:val="00180150"/>
    <w:rsid w:val="00182871"/>
    <w:rsid w:val="001871DA"/>
    <w:rsid w:val="00192AA0"/>
    <w:rsid w:val="001A0CA4"/>
    <w:rsid w:val="001C4134"/>
    <w:rsid w:val="001D3E2B"/>
    <w:rsid w:val="001E3DFE"/>
    <w:rsid w:val="001E4817"/>
    <w:rsid w:val="001E7CDC"/>
    <w:rsid w:val="001F5C38"/>
    <w:rsid w:val="002174E0"/>
    <w:rsid w:val="0022076E"/>
    <w:rsid w:val="002217BC"/>
    <w:rsid w:val="002330CE"/>
    <w:rsid w:val="00241BCC"/>
    <w:rsid w:val="00253CFA"/>
    <w:rsid w:val="00254F40"/>
    <w:rsid w:val="00261D32"/>
    <w:rsid w:val="002A6C06"/>
    <w:rsid w:val="002D733B"/>
    <w:rsid w:val="002F4815"/>
    <w:rsid w:val="0036223F"/>
    <w:rsid w:val="00376049"/>
    <w:rsid w:val="00381FC4"/>
    <w:rsid w:val="003925C0"/>
    <w:rsid w:val="00393141"/>
    <w:rsid w:val="003A6229"/>
    <w:rsid w:val="003B20C1"/>
    <w:rsid w:val="003C063F"/>
    <w:rsid w:val="003C427C"/>
    <w:rsid w:val="003D64DD"/>
    <w:rsid w:val="004423DA"/>
    <w:rsid w:val="00444E6A"/>
    <w:rsid w:val="00454DE9"/>
    <w:rsid w:val="0045635D"/>
    <w:rsid w:val="00462098"/>
    <w:rsid w:val="00464A99"/>
    <w:rsid w:val="00472DF4"/>
    <w:rsid w:val="004733DF"/>
    <w:rsid w:val="00473442"/>
    <w:rsid w:val="004A08E9"/>
    <w:rsid w:val="004A5724"/>
    <w:rsid w:val="004A7376"/>
    <w:rsid w:val="004B1777"/>
    <w:rsid w:val="004C1D33"/>
    <w:rsid w:val="004D1F19"/>
    <w:rsid w:val="004D7306"/>
    <w:rsid w:val="004E10B0"/>
    <w:rsid w:val="004E72BA"/>
    <w:rsid w:val="00506E94"/>
    <w:rsid w:val="00515BF8"/>
    <w:rsid w:val="0051658E"/>
    <w:rsid w:val="0054771B"/>
    <w:rsid w:val="005478E7"/>
    <w:rsid w:val="00556ACB"/>
    <w:rsid w:val="00577A59"/>
    <w:rsid w:val="005B6AD7"/>
    <w:rsid w:val="005D1AB0"/>
    <w:rsid w:val="005D72C2"/>
    <w:rsid w:val="0060753B"/>
    <w:rsid w:val="0063013E"/>
    <w:rsid w:val="00635C0C"/>
    <w:rsid w:val="00652DFE"/>
    <w:rsid w:val="00657638"/>
    <w:rsid w:val="006625DC"/>
    <w:rsid w:val="00663425"/>
    <w:rsid w:val="0066445F"/>
    <w:rsid w:val="006801C3"/>
    <w:rsid w:val="00692B2E"/>
    <w:rsid w:val="006D352C"/>
    <w:rsid w:val="006D4330"/>
    <w:rsid w:val="006F510C"/>
    <w:rsid w:val="007176FF"/>
    <w:rsid w:val="00731B63"/>
    <w:rsid w:val="00733666"/>
    <w:rsid w:val="00741DCC"/>
    <w:rsid w:val="0075159E"/>
    <w:rsid w:val="00763C83"/>
    <w:rsid w:val="0076782C"/>
    <w:rsid w:val="0077237F"/>
    <w:rsid w:val="007748D9"/>
    <w:rsid w:val="00774C00"/>
    <w:rsid w:val="00783649"/>
    <w:rsid w:val="00786572"/>
    <w:rsid w:val="007A1F93"/>
    <w:rsid w:val="007B72EF"/>
    <w:rsid w:val="007B799C"/>
    <w:rsid w:val="007C7DF8"/>
    <w:rsid w:val="007E4FBE"/>
    <w:rsid w:val="007F7DB2"/>
    <w:rsid w:val="00804CED"/>
    <w:rsid w:val="008065F9"/>
    <w:rsid w:val="00841871"/>
    <w:rsid w:val="00841CAE"/>
    <w:rsid w:val="008432FE"/>
    <w:rsid w:val="00846F21"/>
    <w:rsid w:val="00856B37"/>
    <w:rsid w:val="008F4D0A"/>
    <w:rsid w:val="009015CF"/>
    <w:rsid w:val="00940763"/>
    <w:rsid w:val="00956041"/>
    <w:rsid w:val="009675F2"/>
    <w:rsid w:val="009759AA"/>
    <w:rsid w:val="00987FD4"/>
    <w:rsid w:val="00991A06"/>
    <w:rsid w:val="009A7DB9"/>
    <w:rsid w:val="009D42DF"/>
    <w:rsid w:val="009F1F15"/>
    <w:rsid w:val="00A10849"/>
    <w:rsid w:val="00A36518"/>
    <w:rsid w:val="00A37869"/>
    <w:rsid w:val="00A50572"/>
    <w:rsid w:val="00A52A2B"/>
    <w:rsid w:val="00A61B9A"/>
    <w:rsid w:val="00A710FA"/>
    <w:rsid w:val="00A8425E"/>
    <w:rsid w:val="00A94D20"/>
    <w:rsid w:val="00AB4D10"/>
    <w:rsid w:val="00AB5C1A"/>
    <w:rsid w:val="00AB5D1C"/>
    <w:rsid w:val="00AD72B4"/>
    <w:rsid w:val="00AD79FD"/>
    <w:rsid w:val="00AE03DA"/>
    <w:rsid w:val="00AE12CF"/>
    <w:rsid w:val="00AF3A29"/>
    <w:rsid w:val="00B36154"/>
    <w:rsid w:val="00B4067F"/>
    <w:rsid w:val="00B4347A"/>
    <w:rsid w:val="00B535FB"/>
    <w:rsid w:val="00B72ED2"/>
    <w:rsid w:val="00B91726"/>
    <w:rsid w:val="00BA1827"/>
    <w:rsid w:val="00BA648C"/>
    <w:rsid w:val="00BB1923"/>
    <w:rsid w:val="00BC3EDD"/>
    <w:rsid w:val="00BD4D80"/>
    <w:rsid w:val="00BE11C0"/>
    <w:rsid w:val="00BE51B4"/>
    <w:rsid w:val="00C149E3"/>
    <w:rsid w:val="00C2475A"/>
    <w:rsid w:val="00C34438"/>
    <w:rsid w:val="00C61951"/>
    <w:rsid w:val="00C85F30"/>
    <w:rsid w:val="00C87675"/>
    <w:rsid w:val="00CA6A77"/>
    <w:rsid w:val="00CB5BC4"/>
    <w:rsid w:val="00CB70C6"/>
    <w:rsid w:val="00CD165F"/>
    <w:rsid w:val="00CD4482"/>
    <w:rsid w:val="00D13BC7"/>
    <w:rsid w:val="00D2525E"/>
    <w:rsid w:val="00D275A3"/>
    <w:rsid w:val="00D54588"/>
    <w:rsid w:val="00D62E3C"/>
    <w:rsid w:val="00D632CA"/>
    <w:rsid w:val="00D75967"/>
    <w:rsid w:val="00E10628"/>
    <w:rsid w:val="00E23102"/>
    <w:rsid w:val="00E87C62"/>
    <w:rsid w:val="00E942C8"/>
    <w:rsid w:val="00E94FA6"/>
    <w:rsid w:val="00EA44AB"/>
    <w:rsid w:val="00EA5710"/>
    <w:rsid w:val="00EB657A"/>
    <w:rsid w:val="00EE00DE"/>
    <w:rsid w:val="00EE6CEF"/>
    <w:rsid w:val="00EF1118"/>
    <w:rsid w:val="00EF4F65"/>
    <w:rsid w:val="00EF660A"/>
    <w:rsid w:val="00EF76D2"/>
    <w:rsid w:val="00F05BC6"/>
    <w:rsid w:val="00F44622"/>
    <w:rsid w:val="00F45727"/>
    <w:rsid w:val="00FC6055"/>
    <w:rsid w:val="00FD0FE8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B971720"/>
  <w15:docId w15:val="{42EB4C5E-E098-40C2-A810-140EB1E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23"/>
    <w:rPr>
      <w:rFonts w:ascii="Tahoma" w:hAnsi="Tahoma"/>
      <w:sz w:val="22"/>
      <w:lang w:eastAsia="zh-CN"/>
    </w:rPr>
  </w:style>
  <w:style w:type="paragraph" w:styleId="Heading1">
    <w:name w:val="heading 1"/>
    <w:basedOn w:val="Normal"/>
    <w:next w:val="Normal"/>
    <w:qFormat/>
    <w:rsid w:val="00BB192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B192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B1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B192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B19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B1923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BB1923"/>
    <w:pPr>
      <w:keepNext/>
      <w:ind w:firstLine="72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23"/>
    <w:rPr>
      <w:color w:val="0000FF"/>
      <w:u w:val="single"/>
    </w:rPr>
  </w:style>
  <w:style w:type="paragraph" w:styleId="Header">
    <w:name w:val="header"/>
    <w:basedOn w:val="Normal"/>
    <w:rsid w:val="00BB19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923"/>
  </w:style>
  <w:style w:type="paragraph" w:styleId="Footer">
    <w:name w:val="footer"/>
    <w:basedOn w:val="Normal"/>
    <w:link w:val="FooterChar"/>
    <w:uiPriority w:val="99"/>
    <w:rsid w:val="00BB19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1923"/>
    <w:rPr>
      <w:rFonts w:cs="Tahoma"/>
      <w:sz w:val="16"/>
      <w:szCs w:val="16"/>
    </w:rPr>
  </w:style>
  <w:style w:type="paragraph" w:styleId="BodyText">
    <w:name w:val="Body Text"/>
    <w:basedOn w:val="Normal"/>
    <w:rsid w:val="00BB1923"/>
    <w:rPr>
      <w:sz w:val="18"/>
    </w:rPr>
  </w:style>
  <w:style w:type="paragraph" w:styleId="BodyText2">
    <w:name w:val="Body Text 2"/>
    <w:basedOn w:val="Normal"/>
    <w:rsid w:val="00BB1923"/>
    <w:rPr>
      <w:sz w:val="24"/>
    </w:rPr>
  </w:style>
  <w:style w:type="paragraph" w:styleId="BodyText3">
    <w:name w:val="Body Text 3"/>
    <w:basedOn w:val="Normal"/>
    <w:link w:val="BodyText3Char"/>
    <w:rsid w:val="00BB1923"/>
    <w:pPr>
      <w:jc w:val="center"/>
    </w:pPr>
    <w:rPr>
      <w:b/>
      <w:sz w:val="28"/>
    </w:rPr>
  </w:style>
  <w:style w:type="paragraph" w:styleId="Date">
    <w:name w:val="Date"/>
    <w:basedOn w:val="Normal"/>
    <w:next w:val="Normal"/>
    <w:rsid w:val="00087EC9"/>
  </w:style>
  <w:style w:type="character" w:styleId="Strong">
    <w:name w:val="Strong"/>
    <w:basedOn w:val="DefaultParagraphFont"/>
    <w:uiPriority w:val="22"/>
    <w:qFormat/>
    <w:rsid w:val="000C7D7A"/>
    <w:rPr>
      <w:b/>
      <w:bCs/>
    </w:rPr>
  </w:style>
  <w:style w:type="character" w:styleId="Emphasis">
    <w:name w:val="Emphasis"/>
    <w:basedOn w:val="DefaultParagraphFont"/>
    <w:qFormat/>
    <w:rsid w:val="00C34438"/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4E10B0"/>
    <w:rPr>
      <w:rFonts w:ascii="Tahoma" w:hAnsi="Tahoma"/>
      <w:b/>
      <w:sz w:val="28"/>
      <w:lang w:eastAsia="zh-CN"/>
    </w:rPr>
  </w:style>
  <w:style w:type="paragraph" w:styleId="NoSpacing">
    <w:name w:val="No Spacing"/>
    <w:uiPriority w:val="1"/>
    <w:qFormat/>
    <w:rsid w:val="00473442"/>
    <w:rPr>
      <w:rFonts w:ascii="Tahoma" w:hAnsi="Tahoma"/>
      <w:sz w:val="22"/>
      <w:lang w:eastAsia="zh-CN"/>
    </w:rPr>
  </w:style>
  <w:style w:type="table" w:styleId="TableGrid">
    <w:name w:val="Table Grid"/>
    <w:basedOn w:val="TableNormal"/>
    <w:uiPriority w:val="59"/>
    <w:rsid w:val="0014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5C1A"/>
  </w:style>
  <w:style w:type="character" w:customStyle="1" w:styleId="FooterChar">
    <w:name w:val="Footer Char"/>
    <w:basedOn w:val="DefaultParagraphFont"/>
    <w:link w:val="Footer"/>
    <w:uiPriority w:val="99"/>
    <w:rsid w:val="00BA648C"/>
    <w:rPr>
      <w:rFonts w:ascii="Tahoma" w:hAnsi="Tahom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7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76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01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679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urnals@equinoxpub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quinoxpub.com/home/information-for-librarians-and-subscription-ag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inoxpub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ANNOUNCEMENT AND CALL FOR PAPERS</vt:lpstr>
    </vt:vector>
  </TitlesOfParts>
  <Company>Hewlett-Packard Company</Company>
  <LinksUpToDate>false</LinksUpToDate>
  <CharactersWithSpaces>4682</CharactersWithSpaces>
  <SharedDoc>false</SharedDoc>
  <HLinks>
    <vt:vector size="12" baseType="variant"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mailto:ynazareth@equinoxpub.com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http://www.equinoxpub.com/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ANNOUNCEMENT AND CALL FOR PAPERS</dc:title>
  <dc:creator>Yvonne</dc:creator>
  <cp:lastModifiedBy>Yvonne</cp:lastModifiedBy>
  <cp:revision>8</cp:revision>
  <cp:lastPrinted>2010-12-16T13:35:00Z</cp:lastPrinted>
  <dcterms:created xsi:type="dcterms:W3CDTF">2016-06-28T20:55:00Z</dcterms:created>
  <dcterms:modified xsi:type="dcterms:W3CDTF">2018-08-16T08:47:00Z</dcterms:modified>
</cp:coreProperties>
</file>